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0" w:rsidRPr="00DE7B90" w:rsidRDefault="00DE7B90">
      <w:pPr>
        <w:rPr>
          <w:b/>
          <w:shd w:val="clear" w:color="auto" w:fill="FCFCFC"/>
        </w:rPr>
      </w:pPr>
      <w:r w:rsidRPr="00DE7B90">
        <w:rPr>
          <w:b/>
          <w:shd w:val="clear" w:color="auto" w:fill="FCFCFC"/>
        </w:rPr>
        <w:t xml:space="preserve">DBD: </w:t>
      </w:r>
      <w:bookmarkStart w:id="0" w:name="_GoBack"/>
      <w:r w:rsidRPr="00DE7B90">
        <w:rPr>
          <w:b/>
          <w:shd w:val="clear" w:color="auto" w:fill="FCFCFC"/>
        </w:rPr>
        <w:t>Board Resolution</w:t>
      </w:r>
      <w:bookmarkEnd w:id="0"/>
    </w:p>
    <w:p w:rsidR="00BB3E53" w:rsidRDefault="00DE7B90">
      <w:pPr>
        <w:rPr>
          <w:shd w:val="clear" w:color="auto" w:fill="FCFCFC"/>
        </w:rPr>
      </w:pPr>
      <w:r>
        <w:rPr>
          <w:shd w:val="clear" w:color="auto" w:fill="FCFCFC"/>
        </w:rPr>
        <w:t xml:space="preserve">On 27/12/2017, </w:t>
      </w:r>
      <w:proofErr w:type="spellStart"/>
      <w:r w:rsidRPr="00DE7B90">
        <w:rPr>
          <w:shd w:val="clear" w:color="auto" w:fill="FCFCFC"/>
        </w:rPr>
        <w:t>B</w:t>
      </w:r>
      <w:r w:rsidRPr="00DE7B90">
        <w:rPr>
          <w:shd w:val="clear" w:color="auto" w:fill="FCFCFC"/>
        </w:rPr>
        <w:t>inhDinh</w:t>
      </w:r>
      <w:proofErr w:type="spellEnd"/>
      <w:r w:rsidRPr="00DE7B90">
        <w:rPr>
          <w:shd w:val="clear" w:color="auto" w:fill="FCFCFC"/>
        </w:rPr>
        <w:t xml:space="preserve"> Pharmaceutical and Medical Equipment Joint Stock Company (BIDIPHAR)</w:t>
      </w:r>
      <w:r>
        <w:rPr>
          <w:shd w:val="clear" w:color="auto" w:fill="FCFCFC"/>
        </w:rPr>
        <w:t xml:space="preserve"> announced </w:t>
      </w:r>
      <w:r>
        <w:rPr>
          <w:shd w:val="clear" w:color="auto" w:fill="FCFCFC"/>
        </w:rPr>
        <w:t>Board Resolution</w:t>
      </w:r>
      <w:r>
        <w:rPr>
          <w:shd w:val="clear" w:color="auto" w:fill="FCFCFC"/>
        </w:rPr>
        <w:t xml:space="preserve"> as follows:</w:t>
      </w:r>
    </w:p>
    <w:p w:rsidR="00DE7B90" w:rsidRDefault="00DE7B90" w:rsidP="00DE7B90">
      <w:pPr>
        <w:pStyle w:val="ListParagraph"/>
        <w:numPr>
          <w:ilvl w:val="0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 xml:space="preserve">Approve the consolidated operating plan for 2018 and 2019 of </w:t>
      </w:r>
      <w:proofErr w:type="spellStart"/>
      <w:r w:rsidRPr="00DE7B90">
        <w:rPr>
          <w:shd w:val="clear" w:color="auto" w:fill="FCFCFC"/>
        </w:rPr>
        <w:t>BinhDinh</w:t>
      </w:r>
      <w:proofErr w:type="spellEnd"/>
      <w:r w:rsidRPr="00DE7B90">
        <w:rPr>
          <w:shd w:val="clear" w:color="auto" w:fill="FCFCFC"/>
        </w:rPr>
        <w:t xml:space="preserve"> Pharmaceutical and Medical Equipment Joint Stock Company</w:t>
      </w:r>
      <w:r>
        <w:rPr>
          <w:shd w:val="clear" w:color="auto" w:fill="FCFCFC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8"/>
        <w:gridCol w:w="1498"/>
        <w:gridCol w:w="1498"/>
        <w:gridCol w:w="1498"/>
        <w:gridCol w:w="1499"/>
        <w:gridCol w:w="1499"/>
      </w:tblGrid>
      <w:tr w:rsidR="00DE7B90" w:rsidTr="00190E3D">
        <w:tc>
          <w:tcPr>
            <w:tcW w:w="1498" w:type="dxa"/>
            <w:vMerge w:val="restart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Target</w:t>
            </w:r>
          </w:p>
        </w:tc>
        <w:tc>
          <w:tcPr>
            <w:tcW w:w="1498" w:type="dxa"/>
            <w:vMerge w:val="restart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Unit</w:t>
            </w:r>
          </w:p>
        </w:tc>
        <w:tc>
          <w:tcPr>
            <w:tcW w:w="2996" w:type="dxa"/>
            <w:gridSpan w:val="2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2018</w:t>
            </w:r>
          </w:p>
        </w:tc>
        <w:tc>
          <w:tcPr>
            <w:tcW w:w="2998" w:type="dxa"/>
            <w:gridSpan w:val="2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2019</w:t>
            </w:r>
          </w:p>
        </w:tc>
      </w:tr>
      <w:tr w:rsidR="00DE7B90" w:rsidTr="00DE7B90">
        <w:tc>
          <w:tcPr>
            <w:tcW w:w="1498" w:type="dxa"/>
            <w:vMerge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</w:p>
        </w:tc>
        <w:tc>
          <w:tcPr>
            <w:tcW w:w="1498" w:type="dxa"/>
            <w:vMerge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</w:p>
        </w:tc>
        <w:tc>
          <w:tcPr>
            <w:tcW w:w="1498" w:type="dxa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Plan</w:t>
            </w:r>
          </w:p>
        </w:tc>
        <w:tc>
          <w:tcPr>
            <w:tcW w:w="1498" w:type="dxa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Increase (Decrease)/ Plan of 2017</w:t>
            </w:r>
          </w:p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(%)</w:t>
            </w:r>
          </w:p>
        </w:tc>
        <w:tc>
          <w:tcPr>
            <w:tcW w:w="1499" w:type="dxa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Plan</w:t>
            </w:r>
          </w:p>
        </w:tc>
        <w:tc>
          <w:tcPr>
            <w:tcW w:w="1499" w:type="dxa"/>
          </w:tcPr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Increase (Decrease)/ Plan of 201</w:t>
            </w:r>
            <w:r w:rsidRPr="00DE7B90">
              <w:rPr>
                <w:b/>
                <w:shd w:val="clear" w:color="auto" w:fill="FCFCFC"/>
              </w:rPr>
              <w:t>8</w:t>
            </w:r>
          </w:p>
          <w:p w:rsidR="00DE7B90" w:rsidRPr="00DE7B90" w:rsidRDefault="00DE7B90" w:rsidP="00DE7B90">
            <w:pPr>
              <w:spacing w:before="120" w:after="120"/>
              <w:jc w:val="center"/>
              <w:rPr>
                <w:b/>
                <w:shd w:val="clear" w:color="auto" w:fill="FCFCFC"/>
              </w:rPr>
            </w:pPr>
            <w:r w:rsidRPr="00DE7B90">
              <w:rPr>
                <w:b/>
                <w:shd w:val="clear" w:color="auto" w:fill="FCFCFC"/>
              </w:rPr>
              <w:t>(%)</w:t>
            </w:r>
          </w:p>
        </w:tc>
      </w:tr>
      <w:tr w:rsidR="00DE7B90" w:rsidTr="00DE7B90">
        <w:tc>
          <w:tcPr>
            <w:tcW w:w="1498" w:type="dxa"/>
          </w:tcPr>
          <w:p w:rsidR="00DE7B90" w:rsidRDefault="00DE7B90" w:rsidP="00DE7B90">
            <w:pPr>
              <w:spacing w:before="120" w:after="12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Charter capital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center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Million dong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523,790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-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523,790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-</w:t>
            </w:r>
          </w:p>
        </w:tc>
      </w:tr>
      <w:tr w:rsidR="00DE7B90" w:rsidTr="00DE7B90">
        <w:tc>
          <w:tcPr>
            <w:tcW w:w="1498" w:type="dxa"/>
          </w:tcPr>
          <w:p w:rsidR="00DE7B90" w:rsidRDefault="00DE7B90" w:rsidP="00DE7B90">
            <w:pPr>
              <w:spacing w:before="120" w:after="12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Net revenue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center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Million dong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1,584,107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10.0%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1,821,700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15%</w:t>
            </w:r>
          </w:p>
        </w:tc>
      </w:tr>
      <w:tr w:rsidR="00DE7B90" w:rsidTr="00DE7B90">
        <w:tc>
          <w:tcPr>
            <w:tcW w:w="1498" w:type="dxa"/>
          </w:tcPr>
          <w:p w:rsidR="00DE7B90" w:rsidRDefault="00DE7B90" w:rsidP="00DE7B90">
            <w:pPr>
              <w:spacing w:before="120" w:after="12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Profit after tax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center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Million dong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161,844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10.0%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186,120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15%</w:t>
            </w:r>
          </w:p>
        </w:tc>
      </w:tr>
      <w:tr w:rsidR="00DE7B90" w:rsidTr="00DE7B90">
        <w:tc>
          <w:tcPr>
            <w:tcW w:w="1498" w:type="dxa"/>
          </w:tcPr>
          <w:p w:rsidR="00DE7B90" w:rsidRDefault="00DE7B90" w:rsidP="00DE7B90">
            <w:pPr>
              <w:spacing w:before="120" w:after="12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Dividends payment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center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%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15%</w:t>
            </w:r>
          </w:p>
        </w:tc>
        <w:tc>
          <w:tcPr>
            <w:tcW w:w="1498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-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15%</w:t>
            </w:r>
          </w:p>
        </w:tc>
        <w:tc>
          <w:tcPr>
            <w:tcW w:w="1499" w:type="dxa"/>
          </w:tcPr>
          <w:p w:rsidR="00DE7B90" w:rsidRDefault="00DE7B90" w:rsidP="00DE7B90">
            <w:pPr>
              <w:spacing w:before="120" w:after="120"/>
              <w:jc w:val="right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-</w:t>
            </w:r>
          </w:p>
        </w:tc>
      </w:tr>
    </w:tbl>
    <w:p w:rsidR="00DE7B90" w:rsidRDefault="00DE7B90" w:rsidP="00DE7B90">
      <w:pPr>
        <w:pStyle w:val="ListParagraph"/>
        <w:rPr>
          <w:shd w:val="clear" w:color="auto" w:fill="FCFCFC"/>
        </w:rPr>
      </w:pPr>
    </w:p>
    <w:p w:rsidR="00DE7B90" w:rsidRPr="00DE7B90" w:rsidRDefault="00DE7B90" w:rsidP="00DE7B90">
      <w:pPr>
        <w:pStyle w:val="ListParagraph"/>
        <w:numPr>
          <w:ilvl w:val="0"/>
          <w:numId w:val="1"/>
        </w:numPr>
        <w:rPr>
          <w:shd w:val="clear" w:color="auto" w:fill="FCFCFC"/>
        </w:rPr>
      </w:pPr>
      <w:r>
        <w:rPr>
          <w:shd w:val="clear" w:color="auto" w:fill="FCFCFC"/>
        </w:rPr>
        <w:t>This Resolution took effect from the date of signature</w:t>
      </w:r>
    </w:p>
    <w:p w:rsidR="00DE7B90" w:rsidRPr="00DE7B90" w:rsidRDefault="00DE7B90"/>
    <w:sectPr w:rsidR="00DE7B90" w:rsidRPr="00DE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7E8E"/>
    <w:multiLevelType w:val="hybridMultilevel"/>
    <w:tmpl w:val="10E2259A"/>
    <w:lvl w:ilvl="0" w:tplc="DA3CB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0"/>
    <w:rsid w:val="00037EC1"/>
    <w:rsid w:val="00604E58"/>
    <w:rsid w:val="00D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C274"/>
  <w15:chartTrackingRefBased/>
  <w15:docId w15:val="{C70D94B1-9EDC-4247-AE53-4F30E62C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90"/>
    <w:pPr>
      <w:ind w:left="720"/>
      <w:contextualSpacing/>
    </w:pPr>
  </w:style>
  <w:style w:type="table" w:styleId="TableGrid">
    <w:name w:val="Table Grid"/>
    <w:basedOn w:val="TableNormal"/>
    <w:uiPriority w:val="39"/>
    <w:rsid w:val="00DE7B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>Phienbanmoi.com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2018-01-04T03:11:00Z</dcterms:created>
  <dcterms:modified xsi:type="dcterms:W3CDTF">2018-01-04T03:20:00Z</dcterms:modified>
</cp:coreProperties>
</file>